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0468" w:rsidRPr="007E0DDF" w:rsidRDefault="00F20468" w:rsidP="00F20468">
      <w:pPr>
        <w:jc w:val="both"/>
        <w:rPr>
          <w:b/>
          <w:lang w:val="sr-Latn-BA"/>
        </w:rPr>
      </w:pPr>
      <w:r>
        <w:rPr>
          <w:b/>
          <w:lang w:val="sr-Latn-BA"/>
        </w:rPr>
        <w:t xml:space="preserve">8. </w:t>
      </w:r>
      <w:r w:rsidRPr="007E0DDF">
        <w:rPr>
          <w:b/>
          <w:lang w:val="sr-Latn-BA"/>
        </w:rPr>
        <w:t>HEDŽING TRANSAKCIJE SA FJUČERSIMA (str. 338.)</w:t>
      </w:r>
    </w:p>
    <w:p w:rsidR="00F20468" w:rsidRDefault="00F20468" w:rsidP="00F20468">
      <w:pPr>
        <w:jc w:val="both"/>
        <w:rPr>
          <w:lang w:val="sr-Latn-BA"/>
        </w:rPr>
      </w:pPr>
      <w:r>
        <w:rPr>
          <w:lang w:val="sr-Latn-BA"/>
        </w:rPr>
        <w:t>Hedžing transakcije predstavljaju instrumente zaštite od cjenovnog rizika nastalog po osnovu terminskih ugovora. Primjenom hedžing transakcija cjenovni rizik se svodi na najmanju moguću mjeru, uz eliminisanje pozicije ostvarivanja velikih prinosa po osnovu rasta cijena HOV. Hedžing transakcije zaštićuju hedžere ali istovremeno smanjuju interes tradersima (špekulantima) da aktivno učestvuju na finansijskoj berzi. Špekulanti svoju tržišnu strategiju zasnivaju na maksimalnom korišćenju cjenovnog rizika radi sticanja dobitka (profita).</w:t>
      </w:r>
    </w:p>
    <w:p w:rsidR="00F20468" w:rsidRDefault="00F20468" w:rsidP="00F20468">
      <w:pPr>
        <w:jc w:val="both"/>
        <w:rPr>
          <w:lang w:val="sr-Latn-BA"/>
        </w:rPr>
      </w:pPr>
      <w:r>
        <w:rPr>
          <w:lang w:val="sr-Latn-BA"/>
        </w:rPr>
        <w:t>Na fjučers berzama se najčešće pojavljuju dvije vrste učesnika:</w:t>
      </w:r>
    </w:p>
    <w:p w:rsidR="00F20468" w:rsidRDefault="00F20468" w:rsidP="00F20468">
      <w:pPr>
        <w:pStyle w:val="ListParagraph"/>
        <w:numPr>
          <w:ilvl w:val="0"/>
          <w:numId w:val="1"/>
        </w:numPr>
        <w:jc w:val="both"/>
        <w:rPr>
          <w:lang w:val="sr-Latn-BA"/>
        </w:rPr>
      </w:pPr>
      <w:r>
        <w:rPr>
          <w:lang w:val="sr-Latn-BA"/>
        </w:rPr>
        <w:t>hedžeri</w:t>
      </w:r>
    </w:p>
    <w:p w:rsidR="00F20468" w:rsidRDefault="00F20468" w:rsidP="00F20468">
      <w:pPr>
        <w:pStyle w:val="ListParagraph"/>
        <w:numPr>
          <w:ilvl w:val="0"/>
          <w:numId w:val="1"/>
        </w:numPr>
        <w:jc w:val="both"/>
        <w:rPr>
          <w:lang w:val="sr-Latn-BA"/>
        </w:rPr>
      </w:pPr>
      <w:r>
        <w:rPr>
          <w:lang w:val="sr-Latn-BA"/>
        </w:rPr>
        <w:t>tradersi (špekulanti)</w:t>
      </w:r>
    </w:p>
    <w:p w:rsidR="00F20468" w:rsidRDefault="00F20468" w:rsidP="00F20468">
      <w:pPr>
        <w:jc w:val="both"/>
        <w:rPr>
          <w:lang w:val="sr-Latn-BA"/>
        </w:rPr>
      </w:pPr>
      <w:r>
        <w:rPr>
          <w:b/>
          <w:u w:val="single"/>
          <w:lang w:val="sr-Latn-BA"/>
        </w:rPr>
        <w:t xml:space="preserve">Hedžeri </w:t>
      </w:r>
      <w:r>
        <w:rPr>
          <w:lang w:val="sr-Latn-BA"/>
        </w:rPr>
        <w:t>su učesnici na fjučers berzi koji se bave trgovanjem robom, a najčešće su to proizvođači dotične robe. U principu, trgovanje na berzi se svodi tako, da hedžeri prodaju ugovore o fjučersima, dok ih korisnici kupuju. Suština trgovanja hedžera na fjučers berzi jeste, zaštita od moguće promijene cijena koje ugrožavaju njihovu dobit. Hedžeri kod finansijskih fjučersa su:</w:t>
      </w:r>
    </w:p>
    <w:p w:rsidR="00F20468" w:rsidRDefault="00F20468" w:rsidP="00F20468">
      <w:pPr>
        <w:pStyle w:val="ListParagraph"/>
        <w:numPr>
          <w:ilvl w:val="0"/>
          <w:numId w:val="2"/>
        </w:numPr>
        <w:jc w:val="both"/>
        <w:rPr>
          <w:lang w:val="sr-Latn-BA"/>
        </w:rPr>
      </w:pPr>
      <w:r>
        <w:rPr>
          <w:lang w:val="sr-Latn-BA"/>
        </w:rPr>
        <w:t>direktori penzionih i zajedničkih fondova</w:t>
      </w:r>
    </w:p>
    <w:p w:rsidR="00F20468" w:rsidRDefault="00F20468" w:rsidP="00F20468">
      <w:pPr>
        <w:pStyle w:val="ListParagraph"/>
        <w:numPr>
          <w:ilvl w:val="0"/>
          <w:numId w:val="2"/>
        </w:numPr>
        <w:jc w:val="both"/>
        <w:rPr>
          <w:lang w:val="sr-Latn-BA"/>
        </w:rPr>
      </w:pPr>
      <w:r>
        <w:rPr>
          <w:lang w:val="sr-Latn-BA"/>
        </w:rPr>
        <w:t>borkersko dilerska društva</w:t>
      </w:r>
    </w:p>
    <w:p w:rsidR="00F20468" w:rsidRPr="005D679B" w:rsidRDefault="00F20468" w:rsidP="00F20468">
      <w:pPr>
        <w:jc w:val="both"/>
        <w:rPr>
          <w:lang w:val="sr-Latn-BA"/>
        </w:rPr>
      </w:pPr>
      <w:r>
        <w:rPr>
          <w:lang w:val="sr-Latn-BA"/>
        </w:rPr>
        <w:t>Za hedžere na fjučers berzama je karakteristično pravilo da stalno ulaze u transakcije da bi osigurali svoju buduću poziciju na promptnom tržištu.</w:t>
      </w:r>
    </w:p>
    <w:p w:rsidR="00F20468" w:rsidRDefault="00F20468" w:rsidP="00F20468">
      <w:pPr>
        <w:jc w:val="both"/>
        <w:rPr>
          <w:lang w:val="sr-Latn-BA"/>
        </w:rPr>
      </w:pPr>
      <w:r>
        <w:rPr>
          <w:lang w:val="sr-Latn-BA"/>
        </w:rPr>
        <w:t xml:space="preserve">Za </w:t>
      </w:r>
      <w:r>
        <w:rPr>
          <w:b/>
          <w:u w:val="single"/>
          <w:lang w:val="sr-Latn-BA"/>
        </w:rPr>
        <w:t>traderse (špekulante)</w:t>
      </w:r>
      <w:r>
        <w:rPr>
          <w:lang w:val="sr-Latn-BA"/>
        </w:rPr>
        <w:t xml:space="preserve"> je karakteristično da trguju na berzi sa fjučers ugovorima da bi ostvarili zaradu. Oni stalno trguju sa fjučers ugovorima a da pri tome nikad ne koriste robu koja je predmet trgovanja na berzi. Ukoliko osjete da će doći do promijene cijena robe, tada kupuju ili prodaju fjučers ugovore. Zahvaljujući špekulantima trgovanje na fjučers berzama je aktivno. Špekulanti se povlače iz fjučers ugovora kada je cijena ugovora po njihovoj procjeni najviša i obrnuto. </w:t>
      </w:r>
    </w:p>
    <w:p w:rsidR="00F20468" w:rsidRDefault="00F20468" w:rsidP="00F20468">
      <w:pPr>
        <w:jc w:val="both"/>
        <w:rPr>
          <w:lang w:val="sr-Latn-BA"/>
        </w:rPr>
      </w:pPr>
      <w:r>
        <w:rPr>
          <w:lang w:val="sr-Latn-BA"/>
        </w:rPr>
        <w:t>Najveći rizik sa kojim se pojedinačno hedžer suočava pri definisanju svoje strategije odnosi se na bazni rizik (basis risk). Bazni rizik predstavlja razliku u cijeni aktive koja je predmet hedžiranja i cijene rizika koji se koristi za hedžiranje. Baza ili osnova se može prikazati na sljedeći način:</w:t>
      </w:r>
    </w:p>
    <w:p w:rsidR="00F20468" w:rsidRDefault="00F20468" w:rsidP="00F20468">
      <w:pPr>
        <w:spacing w:after="0" w:line="240" w:lineRule="auto"/>
        <w:jc w:val="both"/>
        <w:rPr>
          <w:lang w:val="sr-Latn-BA"/>
        </w:rPr>
      </w:pPr>
      <w:r>
        <w:rPr>
          <w:lang w:val="sr-Latn-BA"/>
        </w:rPr>
        <w:t>bazni rizik</w:t>
      </w:r>
      <w:r w:rsidR="007E64CA">
        <w:rPr>
          <w:lang w:val="sr-Latn-BA"/>
        </w:rPr>
        <w:t xml:space="preserve"> </w:t>
      </w:r>
      <w:r>
        <w:rPr>
          <w:lang w:val="sr-Latn-BA"/>
        </w:rPr>
        <w:t>= promptne cijene aktive koju treba zaštititi – fjučers cijena ugovora koji se koristi</w:t>
      </w:r>
    </w:p>
    <w:p w:rsidR="00F20468" w:rsidRDefault="00F20468" w:rsidP="00F20468">
      <w:pPr>
        <w:spacing w:after="0" w:line="240" w:lineRule="auto"/>
        <w:jc w:val="both"/>
        <w:rPr>
          <w:lang w:val="sr-Latn-BA"/>
        </w:rPr>
      </w:pPr>
    </w:p>
    <w:p w:rsidR="00F20468" w:rsidRPr="002E4335" w:rsidRDefault="00F20468" w:rsidP="00F20468">
      <w:pPr>
        <w:spacing w:before="240"/>
        <w:jc w:val="both"/>
      </w:pPr>
      <w:r w:rsidRPr="002E4335">
        <w:t xml:space="preserve">Kratki fjučers hedž se koristi kao zaštita od pada buduće spot cijene osnovne aktive. Dugi fjučers hedž se konsituiše da bi se postavila zaštita od rasta cijena osnovne aktive, koja će se kupiti na spot tržištu u nekog budućem vremenu. </w:t>
      </w:r>
    </w:p>
    <w:p w:rsidR="00F20468" w:rsidRPr="00441F90" w:rsidRDefault="00F20468" w:rsidP="00F20468">
      <w:pPr>
        <w:spacing w:after="0" w:line="240" w:lineRule="auto"/>
        <w:jc w:val="both"/>
        <w:rPr>
          <w:lang w:val="sr-Latn-BA"/>
        </w:rPr>
      </w:pPr>
    </w:p>
    <w:p w:rsidR="00F20468" w:rsidRDefault="00F20468" w:rsidP="00F20468">
      <w:pPr>
        <w:spacing w:after="0" w:line="240" w:lineRule="auto"/>
        <w:jc w:val="both"/>
        <w:rPr>
          <w:b/>
          <w:lang w:val="sr-Latn-BA"/>
        </w:rPr>
      </w:pPr>
      <w:r>
        <w:rPr>
          <w:b/>
          <w:lang w:val="sr-Latn-BA"/>
        </w:rPr>
        <w:t xml:space="preserve">9. </w:t>
      </w:r>
      <w:r w:rsidRPr="007E0DDF">
        <w:rPr>
          <w:b/>
          <w:lang w:val="sr-Latn-BA"/>
        </w:rPr>
        <w:t>INDEKSI NA FINANSIJSKIM BERZAMA (str. 344.)</w:t>
      </w:r>
    </w:p>
    <w:p w:rsidR="00F20468" w:rsidRPr="00E524C6" w:rsidRDefault="00F20468" w:rsidP="00F20468">
      <w:pPr>
        <w:spacing w:after="0" w:line="240" w:lineRule="auto"/>
        <w:jc w:val="both"/>
        <w:rPr>
          <w:b/>
          <w:lang w:val="sr-Latn-BA"/>
        </w:rPr>
      </w:pPr>
    </w:p>
    <w:p w:rsidR="00F20468" w:rsidRDefault="00F20468" w:rsidP="00F20468">
      <w:pPr>
        <w:pStyle w:val="Default"/>
        <w:jc w:val="both"/>
        <w:rPr>
          <w:rFonts w:asciiTheme="minorHAnsi" w:hAnsiTheme="minorHAnsi" w:cstheme="minorHAnsi"/>
          <w:sz w:val="22"/>
          <w:szCs w:val="22"/>
        </w:rPr>
      </w:pPr>
      <w:r w:rsidRPr="00F8350B">
        <w:rPr>
          <w:rFonts w:asciiTheme="minorHAnsi" w:hAnsiTheme="minorHAnsi" w:cstheme="minorHAnsi"/>
          <w:sz w:val="22"/>
          <w:szCs w:val="22"/>
        </w:rPr>
        <w:t>Sve informacije koje poti</w:t>
      </w:r>
      <w:r>
        <w:rPr>
          <w:rFonts w:asciiTheme="minorHAnsi" w:hAnsiTheme="minorHAnsi" w:cstheme="minorHAnsi"/>
          <w:sz w:val="22"/>
          <w:szCs w:val="22"/>
        </w:rPr>
        <w:t>č</w:t>
      </w:r>
      <w:r w:rsidRPr="00F8350B">
        <w:rPr>
          <w:rFonts w:asciiTheme="minorHAnsi" w:hAnsiTheme="minorHAnsi" w:cstheme="minorHAnsi"/>
          <w:sz w:val="22"/>
          <w:szCs w:val="22"/>
        </w:rPr>
        <w:t>u sa fin.</w:t>
      </w:r>
      <w:r>
        <w:rPr>
          <w:rFonts w:asciiTheme="minorHAnsi" w:hAnsiTheme="minorHAnsi" w:cstheme="minorHAnsi"/>
          <w:sz w:val="22"/>
          <w:szCs w:val="22"/>
        </w:rPr>
        <w:t xml:space="preserve"> </w:t>
      </w:r>
      <w:r w:rsidRPr="00F8350B">
        <w:rPr>
          <w:rFonts w:asciiTheme="minorHAnsi" w:hAnsiTheme="minorHAnsi" w:cstheme="minorHAnsi"/>
          <w:sz w:val="22"/>
          <w:szCs w:val="22"/>
        </w:rPr>
        <w:t>berzi mogu se iskazati putem pokazatelja koji se zovu berzanski indeksi. Berzanskim indeksima se može prikazati parcijalno ili cjelokupno poslovanje finansijskog tržišta. Berzanski indeksi se naj</w:t>
      </w:r>
      <w:r>
        <w:rPr>
          <w:rFonts w:asciiTheme="minorHAnsi" w:hAnsiTheme="minorHAnsi" w:cstheme="minorHAnsi"/>
          <w:sz w:val="22"/>
          <w:szCs w:val="22"/>
        </w:rPr>
        <w:t>č</w:t>
      </w:r>
      <w:r w:rsidRPr="00F8350B">
        <w:rPr>
          <w:rFonts w:asciiTheme="minorHAnsi" w:hAnsiTheme="minorHAnsi" w:cstheme="minorHAnsi"/>
          <w:sz w:val="22"/>
          <w:szCs w:val="22"/>
        </w:rPr>
        <w:t>ešće pokazuju putem prosjeka ili putem indeksa. Berzanski prosjeci predstavljaju prosje</w:t>
      </w:r>
      <w:r>
        <w:rPr>
          <w:rFonts w:asciiTheme="minorHAnsi" w:hAnsiTheme="minorHAnsi" w:cstheme="minorHAnsi"/>
          <w:sz w:val="22"/>
          <w:szCs w:val="22"/>
        </w:rPr>
        <w:t>č</w:t>
      </w:r>
      <w:r w:rsidRPr="00F8350B">
        <w:rPr>
          <w:rFonts w:asciiTheme="minorHAnsi" w:hAnsiTheme="minorHAnsi" w:cstheme="minorHAnsi"/>
          <w:sz w:val="22"/>
          <w:szCs w:val="22"/>
        </w:rPr>
        <w:t>ne cijene HoV na berzi. Berzanski indeksi predstavljaju odnos izme</w:t>
      </w:r>
      <w:r>
        <w:rPr>
          <w:rFonts w:asciiTheme="minorHAnsi" w:hAnsiTheme="minorHAnsi" w:cstheme="minorHAnsi"/>
          <w:sz w:val="22"/>
          <w:szCs w:val="22"/>
        </w:rPr>
        <w:t>đ</w:t>
      </w:r>
      <w:r w:rsidRPr="00F8350B">
        <w:rPr>
          <w:rFonts w:asciiTheme="minorHAnsi" w:hAnsiTheme="minorHAnsi" w:cstheme="minorHAnsi"/>
          <w:sz w:val="22"/>
          <w:szCs w:val="22"/>
        </w:rPr>
        <w:t>u cijene d</w:t>
      </w:r>
      <w:r>
        <w:rPr>
          <w:rFonts w:asciiTheme="minorHAnsi" w:hAnsiTheme="minorHAnsi" w:cstheme="minorHAnsi"/>
          <w:sz w:val="22"/>
          <w:szCs w:val="22"/>
        </w:rPr>
        <w:t>otične</w:t>
      </w:r>
      <w:r w:rsidRPr="00F8350B">
        <w:rPr>
          <w:rFonts w:asciiTheme="minorHAnsi" w:hAnsiTheme="minorHAnsi" w:cstheme="minorHAnsi"/>
          <w:sz w:val="22"/>
          <w:szCs w:val="22"/>
        </w:rPr>
        <w:t xml:space="preserve"> HoV i baznog prosjeka (pondera) cijena izabranih HoV. Za berzanske indekse karakteristi</w:t>
      </w:r>
      <w:r>
        <w:rPr>
          <w:rFonts w:asciiTheme="minorHAnsi" w:hAnsiTheme="minorHAnsi" w:cstheme="minorHAnsi"/>
          <w:sz w:val="22"/>
          <w:szCs w:val="22"/>
        </w:rPr>
        <w:t>č</w:t>
      </w:r>
      <w:r w:rsidRPr="00F8350B">
        <w:rPr>
          <w:rFonts w:asciiTheme="minorHAnsi" w:hAnsiTheme="minorHAnsi" w:cstheme="minorHAnsi"/>
          <w:sz w:val="22"/>
          <w:szCs w:val="22"/>
        </w:rPr>
        <w:t>no je da polaze od baznog vremena i bazne vrijednosti koja se indeksira sa brojevima 1, 10, 100, 1000.</w:t>
      </w:r>
      <w:r>
        <w:rPr>
          <w:rFonts w:asciiTheme="minorHAnsi" w:hAnsiTheme="minorHAnsi" w:cstheme="minorHAnsi"/>
          <w:sz w:val="22"/>
          <w:szCs w:val="22"/>
        </w:rPr>
        <w:t xml:space="preserve"> Ponder za izračunavanje berzanskih indeksa jeste cijena izabranih HoV.</w:t>
      </w:r>
    </w:p>
    <w:p w:rsidR="00F20468" w:rsidRDefault="00F20468" w:rsidP="00F20468">
      <w:pPr>
        <w:pStyle w:val="Default"/>
        <w:jc w:val="both"/>
        <w:rPr>
          <w:rFonts w:asciiTheme="minorHAnsi" w:hAnsiTheme="minorHAnsi" w:cstheme="minorHAnsi"/>
          <w:sz w:val="22"/>
          <w:szCs w:val="22"/>
        </w:rPr>
      </w:pPr>
      <w:r>
        <w:rPr>
          <w:rFonts w:asciiTheme="minorHAnsi" w:hAnsiTheme="minorHAnsi" w:cstheme="minorHAnsi"/>
          <w:sz w:val="22"/>
          <w:szCs w:val="22"/>
        </w:rPr>
        <w:lastRenderedPageBreak/>
        <w:t>Na svjetskim finansijskim berzama pojavljuje se više vrsta berzanskih indeksa, a najviše su prisutni sljedeći indeksi:</w:t>
      </w:r>
    </w:p>
    <w:p w:rsidR="00F20468" w:rsidRDefault="00F20468" w:rsidP="00F20468">
      <w:pPr>
        <w:pStyle w:val="Default"/>
        <w:numPr>
          <w:ilvl w:val="0"/>
          <w:numId w:val="3"/>
        </w:numPr>
        <w:jc w:val="both"/>
        <w:rPr>
          <w:rFonts w:asciiTheme="minorHAnsi" w:hAnsiTheme="minorHAnsi" w:cstheme="minorHAnsi"/>
          <w:sz w:val="22"/>
          <w:szCs w:val="22"/>
        </w:rPr>
      </w:pPr>
      <w:r>
        <w:rPr>
          <w:rFonts w:asciiTheme="minorHAnsi" w:hAnsiTheme="minorHAnsi" w:cstheme="minorHAnsi"/>
          <w:sz w:val="22"/>
          <w:szCs w:val="22"/>
        </w:rPr>
        <w:t>Dow Jones</w:t>
      </w:r>
    </w:p>
    <w:p w:rsidR="00F20468" w:rsidRDefault="00F20468" w:rsidP="00F20468">
      <w:pPr>
        <w:pStyle w:val="Default"/>
        <w:numPr>
          <w:ilvl w:val="0"/>
          <w:numId w:val="3"/>
        </w:numPr>
        <w:jc w:val="both"/>
        <w:rPr>
          <w:rFonts w:asciiTheme="minorHAnsi" w:hAnsiTheme="minorHAnsi" w:cstheme="minorHAnsi"/>
          <w:sz w:val="22"/>
          <w:szCs w:val="22"/>
        </w:rPr>
      </w:pPr>
      <w:r>
        <w:rPr>
          <w:rFonts w:asciiTheme="minorHAnsi" w:hAnsiTheme="minorHAnsi" w:cstheme="minorHAnsi"/>
          <w:sz w:val="22"/>
          <w:szCs w:val="22"/>
        </w:rPr>
        <w:t>Nikei</w:t>
      </w:r>
    </w:p>
    <w:p w:rsidR="00F20468" w:rsidRDefault="00F20468" w:rsidP="00F20468">
      <w:pPr>
        <w:pStyle w:val="Default"/>
        <w:numPr>
          <w:ilvl w:val="0"/>
          <w:numId w:val="3"/>
        </w:numPr>
        <w:jc w:val="both"/>
        <w:rPr>
          <w:rFonts w:asciiTheme="minorHAnsi" w:hAnsiTheme="minorHAnsi" w:cstheme="minorHAnsi"/>
          <w:sz w:val="22"/>
          <w:szCs w:val="22"/>
        </w:rPr>
      </w:pPr>
      <w:r>
        <w:rPr>
          <w:rFonts w:asciiTheme="minorHAnsi" w:hAnsiTheme="minorHAnsi" w:cstheme="minorHAnsi"/>
          <w:sz w:val="22"/>
          <w:szCs w:val="22"/>
        </w:rPr>
        <w:t>Nasdak</w:t>
      </w:r>
    </w:p>
    <w:p w:rsidR="00F20468" w:rsidRDefault="00F20468" w:rsidP="00F20468">
      <w:pPr>
        <w:pStyle w:val="Default"/>
        <w:numPr>
          <w:ilvl w:val="0"/>
          <w:numId w:val="3"/>
        </w:numPr>
        <w:jc w:val="both"/>
        <w:rPr>
          <w:rFonts w:asciiTheme="minorHAnsi" w:hAnsiTheme="minorHAnsi" w:cstheme="minorHAnsi"/>
          <w:sz w:val="22"/>
          <w:szCs w:val="22"/>
        </w:rPr>
      </w:pPr>
      <w:r>
        <w:rPr>
          <w:rFonts w:asciiTheme="minorHAnsi" w:hAnsiTheme="minorHAnsi" w:cstheme="minorHAnsi"/>
          <w:sz w:val="22"/>
          <w:szCs w:val="22"/>
        </w:rPr>
        <w:t>Daks – 30</w:t>
      </w:r>
    </w:p>
    <w:p w:rsidR="00F20468" w:rsidRDefault="00F20468" w:rsidP="00F20468">
      <w:pPr>
        <w:pStyle w:val="Default"/>
        <w:numPr>
          <w:ilvl w:val="0"/>
          <w:numId w:val="3"/>
        </w:numPr>
        <w:jc w:val="both"/>
        <w:rPr>
          <w:rFonts w:asciiTheme="minorHAnsi" w:hAnsiTheme="minorHAnsi" w:cstheme="minorHAnsi"/>
          <w:sz w:val="22"/>
          <w:szCs w:val="22"/>
        </w:rPr>
      </w:pPr>
      <w:r>
        <w:rPr>
          <w:rFonts w:asciiTheme="minorHAnsi" w:hAnsiTheme="minorHAnsi" w:cstheme="minorHAnsi"/>
          <w:sz w:val="22"/>
          <w:szCs w:val="22"/>
        </w:rPr>
        <w:t>Ibeks – 35</w:t>
      </w:r>
    </w:p>
    <w:p w:rsidR="00F20468" w:rsidRDefault="00F20468" w:rsidP="00F20468">
      <w:pPr>
        <w:pStyle w:val="Default"/>
        <w:numPr>
          <w:ilvl w:val="0"/>
          <w:numId w:val="3"/>
        </w:numPr>
        <w:jc w:val="both"/>
        <w:rPr>
          <w:rFonts w:asciiTheme="minorHAnsi" w:hAnsiTheme="minorHAnsi" w:cstheme="minorHAnsi"/>
          <w:sz w:val="22"/>
          <w:szCs w:val="22"/>
        </w:rPr>
      </w:pPr>
      <w:r>
        <w:rPr>
          <w:rFonts w:asciiTheme="minorHAnsi" w:hAnsiTheme="minorHAnsi" w:cstheme="minorHAnsi"/>
          <w:sz w:val="22"/>
          <w:szCs w:val="22"/>
        </w:rPr>
        <w:t>PX – 50</w:t>
      </w:r>
    </w:p>
    <w:p w:rsidR="00F20468" w:rsidRPr="00F8350B" w:rsidRDefault="00F20468" w:rsidP="00F20468">
      <w:pPr>
        <w:pStyle w:val="Default"/>
        <w:jc w:val="both"/>
        <w:rPr>
          <w:rFonts w:asciiTheme="minorHAnsi" w:hAnsiTheme="minorHAnsi" w:cstheme="minorHAnsi"/>
          <w:sz w:val="22"/>
          <w:szCs w:val="22"/>
        </w:rPr>
      </w:pPr>
    </w:p>
    <w:p w:rsidR="00F20468" w:rsidRPr="007E0DDF" w:rsidRDefault="00F20468" w:rsidP="00F20468">
      <w:pPr>
        <w:jc w:val="both"/>
        <w:rPr>
          <w:rFonts w:cstheme="minorHAnsi"/>
          <w:b/>
          <w:lang w:val="sr-Latn-BA"/>
        </w:rPr>
      </w:pPr>
      <w:r w:rsidRPr="007E0DDF">
        <w:rPr>
          <w:rFonts w:cstheme="minorHAnsi"/>
          <w:b/>
          <w:lang w:val="sr-Latn-BA"/>
        </w:rPr>
        <w:t>ZAKONSKA REGULATIVA CENTRALNOG REGISTRA HOV (str. 358.)</w:t>
      </w:r>
    </w:p>
    <w:p w:rsidR="00F20468" w:rsidRDefault="00F20468" w:rsidP="00F959F5">
      <w:pPr>
        <w:jc w:val="both"/>
        <w:rPr>
          <w:rFonts w:cstheme="minorHAnsi"/>
          <w:lang w:val="sr-Latn-BA"/>
        </w:rPr>
      </w:pPr>
      <w:r>
        <w:rPr>
          <w:rFonts w:cstheme="minorHAnsi"/>
          <w:lang w:val="sr-Latn-BA"/>
        </w:rPr>
        <w:t>Prema zakonu o tržištu HoV i drugim finansijskim instrumentima centralni registar HoV je organizovan kao akcionarsko društvo, s tim da dio državnog kapitala ne može biti manji od 51%. Centralni registar je osnovan kao samostalna institucija koja je potpuno u svojini države. Centralni registar obavlja poslove jedinstvene evidencije o zakonitim imaocima HoV, poslove u vezi prava trećih lica na HoV. Centralni registar obavlja i poslove kliringa i saldiranja HoV, saldiranja novčanih obaveza i potraživanja nastalih</w:t>
      </w:r>
      <w:r w:rsidR="00F959F5">
        <w:rPr>
          <w:rFonts w:cstheme="minorHAnsi"/>
          <w:lang w:val="sr-Latn-BA"/>
        </w:rPr>
        <w:t xml:space="preserve"> </w:t>
      </w:r>
      <w:r>
        <w:rPr>
          <w:rFonts w:cstheme="minorHAnsi"/>
          <w:lang w:val="sr-Latn-BA"/>
        </w:rPr>
        <w:t>poslovima</w:t>
      </w:r>
      <w:r w:rsidR="00F959F5">
        <w:rPr>
          <w:rFonts w:cstheme="minorHAnsi"/>
          <w:lang w:val="sr-Latn-BA"/>
        </w:rPr>
        <w:t xml:space="preserve"> </w:t>
      </w:r>
      <w:r>
        <w:rPr>
          <w:rFonts w:cstheme="minorHAnsi"/>
          <w:lang w:val="sr-Latn-BA"/>
        </w:rPr>
        <w:t>sa</w:t>
      </w:r>
      <w:r w:rsidR="00F959F5">
        <w:rPr>
          <w:rFonts w:cstheme="minorHAnsi"/>
          <w:lang w:val="sr-Latn-BA"/>
        </w:rPr>
        <w:t xml:space="preserve"> </w:t>
      </w:r>
      <w:r>
        <w:rPr>
          <w:rFonts w:cstheme="minorHAnsi"/>
          <w:lang w:val="sr-Latn-BA"/>
        </w:rPr>
        <w:t>HoV</w:t>
      </w:r>
      <w:r w:rsidR="00CB4385">
        <w:rPr>
          <w:rFonts w:cstheme="minorHAnsi"/>
          <w:lang w:val="sr-Latn-BA"/>
        </w:rPr>
        <w:t>.</w:t>
      </w:r>
      <w:r w:rsidR="00CB4385">
        <w:rPr>
          <w:rFonts w:cstheme="minorHAnsi"/>
          <w:lang w:val="sr-Latn-BA"/>
        </w:rPr>
        <w:tab/>
      </w:r>
      <w:bookmarkStart w:id="0" w:name="_GoBack"/>
      <w:bookmarkEnd w:id="0"/>
      <w:r>
        <w:rPr>
          <w:rFonts w:cstheme="minorHAnsi"/>
          <w:lang w:val="sr-Latn-BA"/>
        </w:rPr>
        <w:br/>
      </w:r>
      <w:r>
        <w:rPr>
          <w:rFonts w:cstheme="minorHAnsi"/>
          <w:lang w:val="sr-Latn-BA"/>
        </w:rPr>
        <w:br/>
        <w:t xml:space="preserve">Poslovi centralnog registra se odnose na: </w:t>
      </w:r>
    </w:p>
    <w:p w:rsidR="00F20468" w:rsidRDefault="00F20468" w:rsidP="00F20468">
      <w:pPr>
        <w:pStyle w:val="ListParagraph"/>
        <w:numPr>
          <w:ilvl w:val="0"/>
          <w:numId w:val="4"/>
        </w:numPr>
        <w:jc w:val="both"/>
        <w:rPr>
          <w:rFonts w:cstheme="minorHAnsi"/>
          <w:lang w:val="sr-Latn-BA"/>
        </w:rPr>
      </w:pPr>
      <w:r>
        <w:rPr>
          <w:rFonts w:cstheme="minorHAnsi"/>
          <w:lang w:val="sr-Latn-BA"/>
        </w:rPr>
        <w:t>vođenje registracije HoV</w:t>
      </w:r>
    </w:p>
    <w:p w:rsidR="00F20468" w:rsidRDefault="00F20468" w:rsidP="00F20468">
      <w:pPr>
        <w:pStyle w:val="ListParagraph"/>
        <w:numPr>
          <w:ilvl w:val="0"/>
          <w:numId w:val="4"/>
        </w:numPr>
        <w:jc w:val="both"/>
        <w:rPr>
          <w:rFonts w:cstheme="minorHAnsi"/>
          <w:lang w:val="sr-Latn-BA"/>
        </w:rPr>
      </w:pPr>
      <w:r>
        <w:rPr>
          <w:rFonts w:cstheme="minorHAnsi"/>
          <w:lang w:val="sr-Latn-BA"/>
        </w:rPr>
        <w:t>vođenje evidencije hov na računima emitenta</w:t>
      </w:r>
    </w:p>
    <w:p w:rsidR="00F20468" w:rsidRDefault="00F20468" w:rsidP="00F20468">
      <w:pPr>
        <w:pStyle w:val="ListParagraph"/>
        <w:numPr>
          <w:ilvl w:val="0"/>
          <w:numId w:val="4"/>
        </w:numPr>
        <w:jc w:val="both"/>
        <w:rPr>
          <w:rFonts w:cstheme="minorHAnsi"/>
          <w:lang w:val="sr-Latn-BA"/>
        </w:rPr>
      </w:pPr>
      <w:r>
        <w:rPr>
          <w:rFonts w:cstheme="minorHAnsi"/>
          <w:lang w:val="sr-Latn-BA"/>
        </w:rPr>
        <w:t>vođenje evidencije računa hov članova centralnog registra i njihovih klijenata</w:t>
      </w:r>
    </w:p>
    <w:p w:rsidR="00F20468" w:rsidRDefault="00F20468" w:rsidP="00F20468">
      <w:pPr>
        <w:pStyle w:val="ListParagraph"/>
        <w:numPr>
          <w:ilvl w:val="0"/>
          <w:numId w:val="4"/>
        </w:numPr>
        <w:jc w:val="both"/>
        <w:rPr>
          <w:rFonts w:cstheme="minorHAnsi"/>
          <w:lang w:val="sr-Latn-BA"/>
        </w:rPr>
      </w:pPr>
      <w:r>
        <w:rPr>
          <w:rFonts w:cstheme="minorHAnsi"/>
          <w:lang w:val="sr-Latn-BA"/>
        </w:rPr>
        <w:t>upis prava trećih lica na HoV</w:t>
      </w:r>
    </w:p>
    <w:p w:rsidR="00F20468" w:rsidRDefault="00F20468" w:rsidP="00F20468">
      <w:pPr>
        <w:pStyle w:val="ListParagraph"/>
        <w:numPr>
          <w:ilvl w:val="0"/>
          <w:numId w:val="4"/>
        </w:numPr>
        <w:jc w:val="both"/>
        <w:rPr>
          <w:rFonts w:cstheme="minorHAnsi"/>
          <w:lang w:val="sr-Latn-BA"/>
        </w:rPr>
      </w:pPr>
      <w:r>
        <w:rPr>
          <w:rFonts w:cstheme="minorHAnsi"/>
          <w:lang w:val="sr-Latn-BA"/>
        </w:rPr>
        <w:t>čuvanje materijalizovanih HoV</w:t>
      </w:r>
    </w:p>
    <w:p w:rsidR="00F20468" w:rsidRDefault="00F20468" w:rsidP="00F20468">
      <w:pPr>
        <w:pStyle w:val="ListParagraph"/>
        <w:numPr>
          <w:ilvl w:val="0"/>
          <w:numId w:val="4"/>
        </w:numPr>
        <w:jc w:val="both"/>
        <w:rPr>
          <w:rFonts w:cstheme="minorHAnsi"/>
          <w:lang w:val="sr-Latn-BA"/>
        </w:rPr>
      </w:pPr>
      <w:r>
        <w:rPr>
          <w:rFonts w:cstheme="minorHAnsi"/>
          <w:lang w:val="sr-Latn-BA"/>
        </w:rPr>
        <w:t>vođenje novčanih računa članova centralnog registra</w:t>
      </w:r>
    </w:p>
    <w:p w:rsidR="00F20468" w:rsidRDefault="00F20468" w:rsidP="00F20468">
      <w:pPr>
        <w:pStyle w:val="ListParagraph"/>
        <w:numPr>
          <w:ilvl w:val="0"/>
          <w:numId w:val="4"/>
        </w:numPr>
        <w:jc w:val="both"/>
        <w:rPr>
          <w:rFonts w:cstheme="minorHAnsi"/>
          <w:lang w:val="sr-Latn-BA"/>
        </w:rPr>
      </w:pPr>
      <w:r>
        <w:rPr>
          <w:rFonts w:cstheme="minorHAnsi"/>
          <w:lang w:val="sr-Latn-BA"/>
        </w:rPr>
        <w:t>uknjižavanje materijalizovanih HoV u dematerijalizovanoj formi</w:t>
      </w:r>
    </w:p>
    <w:p w:rsidR="00F20468" w:rsidRDefault="00F20468" w:rsidP="00F20468">
      <w:pPr>
        <w:pStyle w:val="ListParagraph"/>
        <w:numPr>
          <w:ilvl w:val="0"/>
          <w:numId w:val="4"/>
        </w:numPr>
        <w:jc w:val="both"/>
        <w:rPr>
          <w:rFonts w:cstheme="minorHAnsi"/>
          <w:lang w:val="sr-Latn-BA"/>
        </w:rPr>
      </w:pPr>
      <w:r>
        <w:rPr>
          <w:rFonts w:cstheme="minorHAnsi"/>
          <w:lang w:val="sr-Latn-BA"/>
        </w:rPr>
        <w:t>kliring i saldiranje obaveza i potraživanja u HoV i novcu između članova centralnog registra i njihovih klijenata</w:t>
      </w:r>
    </w:p>
    <w:p w:rsidR="00F20468" w:rsidRDefault="00F20468" w:rsidP="00F20468">
      <w:pPr>
        <w:pStyle w:val="ListParagraph"/>
        <w:numPr>
          <w:ilvl w:val="0"/>
          <w:numId w:val="4"/>
        </w:numPr>
        <w:jc w:val="both"/>
        <w:rPr>
          <w:rFonts w:cstheme="minorHAnsi"/>
          <w:lang w:val="sr-Latn-BA"/>
        </w:rPr>
      </w:pPr>
      <w:r>
        <w:rPr>
          <w:rFonts w:cstheme="minorHAnsi"/>
          <w:lang w:val="sr-Latn-BA"/>
        </w:rPr>
        <w:t>kliring i saldiranje inostranih HoV kojima se trguje u Republici Srbiji</w:t>
      </w:r>
    </w:p>
    <w:p w:rsidR="00F20468" w:rsidRDefault="00F20468" w:rsidP="00F20468">
      <w:pPr>
        <w:pStyle w:val="ListParagraph"/>
        <w:numPr>
          <w:ilvl w:val="0"/>
          <w:numId w:val="4"/>
        </w:numPr>
        <w:jc w:val="both"/>
        <w:rPr>
          <w:rFonts w:cstheme="minorHAnsi"/>
          <w:lang w:val="sr-Latn-BA"/>
        </w:rPr>
      </w:pPr>
      <w:r>
        <w:rPr>
          <w:rFonts w:cstheme="minorHAnsi"/>
          <w:lang w:val="sr-Latn-BA"/>
        </w:rPr>
        <w:t>dodjela jedinstvenog indentifikacionog broja HoV</w:t>
      </w:r>
    </w:p>
    <w:p w:rsidR="00F20468" w:rsidRDefault="00F20468" w:rsidP="00F20468">
      <w:pPr>
        <w:pStyle w:val="ListParagraph"/>
        <w:numPr>
          <w:ilvl w:val="0"/>
          <w:numId w:val="4"/>
        </w:numPr>
        <w:jc w:val="both"/>
        <w:rPr>
          <w:rFonts w:cstheme="minorHAnsi"/>
          <w:lang w:val="sr-Latn-BA"/>
        </w:rPr>
      </w:pPr>
      <w:r>
        <w:rPr>
          <w:rFonts w:cstheme="minorHAnsi"/>
          <w:lang w:val="sr-Latn-BA"/>
        </w:rPr>
        <w:t>prenos i preknjižavanje HoV na računima članova centralnog registra i vlasnika HoV</w:t>
      </w:r>
    </w:p>
    <w:p w:rsidR="00F20468" w:rsidRDefault="00F20468" w:rsidP="00F20468">
      <w:pPr>
        <w:pStyle w:val="ListParagraph"/>
        <w:numPr>
          <w:ilvl w:val="0"/>
          <w:numId w:val="4"/>
        </w:numPr>
        <w:jc w:val="both"/>
        <w:rPr>
          <w:rFonts w:cstheme="minorHAnsi"/>
          <w:lang w:val="sr-Latn-BA"/>
        </w:rPr>
      </w:pPr>
      <w:r>
        <w:rPr>
          <w:rFonts w:cstheme="minorHAnsi"/>
          <w:lang w:val="sr-Latn-BA"/>
        </w:rPr>
        <w:t>vođenje šifarnika vrsta HoV i drugih finansijskih instrumenata</w:t>
      </w:r>
    </w:p>
    <w:p w:rsidR="00F20468" w:rsidRDefault="00F20468" w:rsidP="00F20468">
      <w:pPr>
        <w:pStyle w:val="ListParagraph"/>
        <w:numPr>
          <w:ilvl w:val="0"/>
          <w:numId w:val="4"/>
        </w:numPr>
        <w:jc w:val="both"/>
        <w:rPr>
          <w:rFonts w:cstheme="minorHAnsi"/>
          <w:lang w:val="sr-Latn-BA"/>
        </w:rPr>
      </w:pPr>
      <w:r>
        <w:rPr>
          <w:rFonts w:cstheme="minorHAnsi"/>
          <w:lang w:val="sr-Latn-BA"/>
        </w:rPr>
        <w:t>drugi poslovi u vezi sa HoV</w:t>
      </w:r>
    </w:p>
    <w:p w:rsidR="00F20468" w:rsidRDefault="00F20468" w:rsidP="00F20468">
      <w:pPr>
        <w:pStyle w:val="ListParagraph"/>
        <w:numPr>
          <w:ilvl w:val="0"/>
          <w:numId w:val="4"/>
        </w:numPr>
        <w:jc w:val="both"/>
        <w:rPr>
          <w:rFonts w:cstheme="minorHAnsi"/>
          <w:lang w:val="sr-Latn-BA"/>
        </w:rPr>
      </w:pPr>
      <w:r>
        <w:rPr>
          <w:rFonts w:cstheme="minorHAnsi"/>
          <w:lang w:val="sr-Latn-BA"/>
        </w:rPr>
        <w:t>poslovi u vezi sa korporativnim radnjama</w:t>
      </w:r>
    </w:p>
    <w:p w:rsidR="00F20468" w:rsidRDefault="00F20468" w:rsidP="00F20468">
      <w:pPr>
        <w:pStyle w:val="ListParagraph"/>
        <w:numPr>
          <w:ilvl w:val="0"/>
          <w:numId w:val="4"/>
        </w:numPr>
        <w:jc w:val="both"/>
        <w:rPr>
          <w:rFonts w:cstheme="minorHAnsi"/>
          <w:lang w:val="sr-Latn-BA"/>
        </w:rPr>
      </w:pPr>
      <w:r>
        <w:rPr>
          <w:rFonts w:cstheme="minorHAnsi"/>
          <w:lang w:val="sr-Latn-BA"/>
        </w:rPr>
        <w:t>saradnja sa međunarodnim organizacijama koje se bave poslovima registracije, kliringa i saldiranja HoV</w:t>
      </w:r>
    </w:p>
    <w:p w:rsidR="00F20468" w:rsidRPr="00AB2617" w:rsidRDefault="00F20468" w:rsidP="00F20468">
      <w:pPr>
        <w:pStyle w:val="ListParagraph"/>
        <w:numPr>
          <w:ilvl w:val="0"/>
          <w:numId w:val="4"/>
        </w:numPr>
        <w:jc w:val="both"/>
        <w:rPr>
          <w:rFonts w:cstheme="minorHAnsi"/>
          <w:lang w:val="sr-Latn-BA"/>
        </w:rPr>
      </w:pPr>
      <w:r w:rsidRPr="00AB2617">
        <w:rPr>
          <w:rFonts w:cstheme="minorHAnsi"/>
          <w:lang w:val="sr-Latn-BA"/>
        </w:rPr>
        <w:t>obračun poreza na prenos apsolutnih prava na HoV</w:t>
      </w:r>
    </w:p>
    <w:p w:rsidR="00F20468" w:rsidRDefault="00F20468" w:rsidP="00F20468">
      <w:pPr>
        <w:jc w:val="both"/>
        <w:rPr>
          <w:rFonts w:cstheme="minorHAnsi"/>
          <w:b/>
          <w:lang w:val="sr-Latn-BA"/>
        </w:rPr>
      </w:pPr>
      <w:r w:rsidRPr="00C8535C">
        <w:rPr>
          <w:rFonts w:cstheme="minorHAnsi"/>
          <w:b/>
          <w:lang w:val="sr-Latn-BA"/>
        </w:rPr>
        <w:t xml:space="preserve">KLIRING I SALDIRANJE HOV NA SPOT TRŽIŠTU </w:t>
      </w:r>
      <w:r>
        <w:rPr>
          <w:rFonts w:cstheme="minorHAnsi"/>
          <w:b/>
          <w:lang w:val="sr-Latn-BA"/>
        </w:rPr>
        <w:t>(str. 372)</w:t>
      </w:r>
    </w:p>
    <w:p w:rsidR="00F20468" w:rsidRDefault="00F20468" w:rsidP="00F20468">
      <w:pPr>
        <w:jc w:val="both"/>
        <w:rPr>
          <w:rFonts w:cstheme="minorHAnsi"/>
          <w:lang w:val="sr-Latn-BA"/>
        </w:rPr>
      </w:pPr>
      <w:r>
        <w:rPr>
          <w:rFonts w:cstheme="minorHAnsi"/>
          <w:lang w:val="sr-Latn-BA"/>
        </w:rPr>
        <w:t>Kliring znači prebijanje i predstavlja pripremnu aktivnost da bi se moglo obaviti saldiranje dotične berzanske transakcije. Saldiranje predstavlja podmirenje ili istovremenu zamijenu HoV za novčana sredstva. Uslov za primjenu kliringa i saldiranja na berzi jeste, obavljanje trgovinskih transakcija i njihov obračun.</w:t>
      </w:r>
    </w:p>
    <w:p w:rsidR="00F20468" w:rsidRPr="003F5F07" w:rsidRDefault="00F20468" w:rsidP="00F20468">
      <w:pPr>
        <w:jc w:val="both"/>
        <w:rPr>
          <w:rFonts w:cstheme="minorHAnsi"/>
          <w:b/>
          <w:lang w:val="sr-Latn-BA"/>
        </w:rPr>
      </w:pPr>
      <w:r w:rsidRPr="003F5F07">
        <w:rPr>
          <w:rFonts w:cstheme="minorHAnsi"/>
          <w:b/>
          <w:lang w:val="sr-Latn-BA"/>
        </w:rPr>
        <w:t>GARANTNI FONDOVI I BERZANSKE TRANASKCIJE (str. 380)</w:t>
      </w:r>
    </w:p>
    <w:p w:rsidR="00F20468" w:rsidRDefault="00F20468" w:rsidP="00F20468">
      <w:pPr>
        <w:jc w:val="both"/>
        <w:rPr>
          <w:rFonts w:cstheme="minorHAnsi"/>
          <w:lang w:val="sr-Latn-BA"/>
        </w:rPr>
      </w:pPr>
      <w:r>
        <w:rPr>
          <w:rFonts w:cstheme="minorHAnsi"/>
          <w:lang w:val="sr-Latn-BA"/>
        </w:rPr>
        <w:t xml:space="preserve">Formiranje garantnih fondova ima za cilj da ublaže rizike kod berzanskog poslovanja. Pravilnikom o obračunu, poravnanju i prenosu HoV definisano je da svi članovi centralnog registra imaju obavezu da </w:t>
      </w:r>
      <w:r>
        <w:rPr>
          <w:rFonts w:cstheme="minorHAnsi"/>
          <w:lang w:val="sr-Latn-BA"/>
        </w:rPr>
        <w:lastRenderedPageBreak/>
        <w:t>uplate na račune kod centralnog registra određene iznose novčanih sredstava koji će biti u funkciji garantnog fonda.</w:t>
      </w:r>
    </w:p>
    <w:p w:rsidR="00F20468" w:rsidRDefault="00F20468" w:rsidP="00F20468">
      <w:pPr>
        <w:jc w:val="both"/>
        <w:rPr>
          <w:rFonts w:cstheme="minorHAnsi"/>
          <w:lang w:val="sr-Latn-BA"/>
        </w:rPr>
      </w:pPr>
      <w:r>
        <w:rPr>
          <w:rFonts w:cstheme="minorHAnsi"/>
          <w:lang w:val="sr-Latn-BA"/>
        </w:rPr>
        <w:t>Novčana sredstva koja su uplaćena u garantni fond treba da budu garancija za izvršenje uplata po obavljenim berzanskim transakcijama. Na ovaj način se smanjuje rizik, povećava obrtni kapital i obezbjeđuje likvidnost berzanskih učesnika.</w:t>
      </w:r>
    </w:p>
    <w:p w:rsidR="00F20468" w:rsidRDefault="00F20468" w:rsidP="00F20468">
      <w:pPr>
        <w:jc w:val="both"/>
        <w:rPr>
          <w:rFonts w:cstheme="minorHAnsi"/>
          <w:lang w:val="sr-Latn-BA"/>
        </w:rPr>
      </w:pPr>
      <w:r>
        <w:rPr>
          <w:rFonts w:cstheme="minorHAnsi"/>
          <w:lang w:val="sr-Latn-BA"/>
        </w:rPr>
        <w:t xml:space="preserve">Uplate novčanih sredstava u garantni fond predstavljaju obavezu za sve brokerske kuće. Visina uplate zavisi od obima i vrijednosti ugovorenih poslova dotične brokerske kuće. </w:t>
      </w:r>
    </w:p>
    <w:p w:rsidR="00F20468" w:rsidRDefault="00F20468" w:rsidP="00F20468">
      <w:pPr>
        <w:jc w:val="both"/>
        <w:rPr>
          <w:rFonts w:cstheme="minorHAnsi"/>
          <w:lang w:val="sr-Latn-BA"/>
        </w:rPr>
      </w:pPr>
      <w:r>
        <w:rPr>
          <w:rFonts w:cstheme="minorHAnsi"/>
          <w:lang w:val="sr-Latn-BA"/>
        </w:rPr>
        <w:t xml:space="preserve">Garantni fondovi se mogu formirati na više nivoa. Najčešće se formiraju kao: </w:t>
      </w:r>
    </w:p>
    <w:p w:rsidR="00F20468" w:rsidRDefault="00F20468" w:rsidP="00F20468">
      <w:pPr>
        <w:pStyle w:val="ListParagraph"/>
        <w:numPr>
          <w:ilvl w:val="0"/>
          <w:numId w:val="5"/>
        </w:numPr>
        <w:jc w:val="both"/>
        <w:rPr>
          <w:rFonts w:cstheme="minorHAnsi"/>
          <w:lang w:val="sr-Latn-BA"/>
        </w:rPr>
      </w:pPr>
      <w:r>
        <w:rPr>
          <w:rFonts w:cstheme="minorHAnsi"/>
          <w:lang w:val="sr-Latn-BA"/>
        </w:rPr>
        <w:t>garantni fondovi berzanskih posrednika</w:t>
      </w:r>
    </w:p>
    <w:p w:rsidR="00F20468" w:rsidRDefault="00F20468" w:rsidP="00F20468">
      <w:pPr>
        <w:pStyle w:val="ListParagraph"/>
        <w:numPr>
          <w:ilvl w:val="0"/>
          <w:numId w:val="5"/>
        </w:numPr>
        <w:jc w:val="both"/>
        <w:rPr>
          <w:rFonts w:cstheme="minorHAnsi"/>
          <w:lang w:val="sr-Latn-BA"/>
        </w:rPr>
      </w:pPr>
      <w:r>
        <w:rPr>
          <w:rFonts w:cstheme="minorHAnsi"/>
          <w:lang w:val="sr-Latn-BA"/>
        </w:rPr>
        <w:t>garantni fondovi finansijske berze</w:t>
      </w:r>
    </w:p>
    <w:p w:rsidR="00F20468" w:rsidRDefault="00F20468" w:rsidP="00F20468">
      <w:pPr>
        <w:pStyle w:val="ListParagraph"/>
        <w:numPr>
          <w:ilvl w:val="0"/>
          <w:numId w:val="5"/>
        </w:numPr>
        <w:jc w:val="both"/>
        <w:rPr>
          <w:rFonts w:cstheme="minorHAnsi"/>
          <w:lang w:val="sr-Latn-BA"/>
        </w:rPr>
      </w:pPr>
      <w:r>
        <w:rPr>
          <w:rFonts w:cstheme="minorHAnsi"/>
          <w:lang w:val="sr-Latn-BA"/>
        </w:rPr>
        <w:t>klirinško-depozitni garantni fondovi</w:t>
      </w:r>
    </w:p>
    <w:p w:rsidR="00F20468" w:rsidRDefault="00F20468" w:rsidP="00F20468">
      <w:pPr>
        <w:jc w:val="both"/>
        <w:rPr>
          <w:rFonts w:cstheme="minorHAnsi"/>
          <w:lang w:val="sr-Latn-BA"/>
        </w:rPr>
      </w:pPr>
      <w:r>
        <w:rPr>
          <w:rFonts w:cstheme="minorHAnsi"/>
          <w:lang w:val="sr-Latn-BA"/>
        </w:rPr>
        <w:t>Garantni fond berzanskih posrednika formira se na osnovu vlastitih sredstava (dobiti) posrednika, kao i iz dijela prihoda ostvarenih po osnovu provizija. Formiranje sredstava garantnog fonda na ovaj način je u funkciji obezbjeđenja sigurnosti posredničkog poslovanja.</w:t>
      </w:r>
    </w:p>
    <w:p w:rsidR="00F20468" w:rsidRDefault="00F20468" w:rsidP="00F20468">
      <w:pPr>
        <w:jc w:val="both"/>
        <w:rPr>
          <w:rFonts w:cstheme="minorHAnsi"/>
          <w:lang w:val="sr-Latn-BA"/>
        </w:rPr>
      </w:pPr>
      <w:r>
        <w:rPr>
          <w:rFonts w:cstheme="minorHAnsi"/>
          <w:lang w:val="sr-Latn-BA"/>
        </w:rPr>
        <w:t>Novčana sredstva garantnog fonda se najčešće koriste u sljedećim slučajevima:</w:t>
      </w:r>
    </w:p>
    <w:p w:rsidR="00F20468" w:rsidRDefault="00F20468" w:rsidP="00F20468">
      <w:pPr>
        <w:pStyle w:val="ListParagraph"/>
        <w:numPr>
          <w:ilvl w:val="0"/>
          <w:numId w:val="6"/>
        </w:numPr>
        <w:jc w:val="both"/>
        <w:rPr>
          <w:rFonts w:cstheme="minorHAnsi"/>
          <w:lang w:val="sr-Latn-BA"/>
        </w:rPr>
      </w:pPr>
      <w:r>
        <w:rPr>
          <w:rFonts w:cstheme="minorHAnsi"/>
          <w:lang w:val="sr-Latn-BA"/>
        </w:rPr>
        <w:t>kada brokeri naprave grešku (loš posao) u postupku kupovine i prodaje HoV i prouzrokuju gubitak</w:t>
      </w:r>
    </w:p>
    <w:p w:rsidR="00F20468" w:rsidRDefault="00F20468" w:rsidP="00F20468">
      <w:pPr>
        <w:pStyle w:val="ListParagraph"/>
        <w:numPr>
          <w:ilvl w:val="0"/>
          <w:numId w:val="6"/>
        </w:numPr>
        <w:jc w:val="both"/>
        <w:rPr>
          <w:rFonts w:cstheme="minorHAnsi"/>
          <w:lang w:val="sr-Latn-BA"/>
        </w:rPr>
      </w:pPr>
      <w:r>
        <w:rPr>
          <w:rFonts w:cstheme="minorHAnsi"/>
          <w:lang w:val="sr-Latn-BA"/>
        </w:rPr>
        <w:t>kada brokeri dođu u vlasništvo neispravnih HoV</w:t>
      </w:r>
    </w:p>
    <w:p w:rsidR="00F20468" w:rsidRDefault="00F20468" w:rsidP="00F20468">
      <w:pPr>
        <w:pStyle w:val="ListParagraph"/>
        <w:numPr>
          <w:ilvl w:val="0"/>
          <w:numId w:val="6"/>
        </w:numPr>
        <w:jc w:val="both"/>
        <w:rPr>
          <w:rFonts w:cstheme="minorHAnsi"/>
          <w:lang w:val="sr-Latn-BA"/>
        </w:rPr>
      </w:pPr>
      <w:r>
        <w:rPr>
          <w:rFonts w:cstheme="minorHAnsi"/>
          <w:lang w:val="sr-Latn-BA"/>
        </w:rPr>
        <w:t>kada se u postupku trgovanja pojavi gubitak naloga za trgovanje</w:t>
      </w:r>
    </w:p>
    <w:p w:rsidR="00F20468" w:rsidRDefault="00F20468" w:rsidP="00F20468">
      <w:pPr>
        <w:pStyle w:val="ListParagraph"/>
        <w:numPr>
          <w:ilvl w:val="0"/>
          <w:numId w:val="6"/>
        </w:numPr>
        <w:jc w:val="both"/>
        <w:rPr>
          <w:rFonts w:cstheme="minorHAnsi"/>
          <w:lang w:val="sr-Latn-BA"/>
        </w:rPr>
      </w:pPr>
      <w:r>
        <w:rPr>
          <w:rFonts w:cstheme="minorHAnsi"/>
          <w:lang w:val="sr-Latn-BA"/>
        </w:rPr>
        <w:t>kada se naknadno realizuju HoV po neadekvatnim cijenama i sl.</w:t>
      </w:r>
    </w:p>
    <w:p w:rsidR="00F20468" w:rsidRDefault="00F20468" w:rsidP="00F20468">
      <w:pPr>
        <w:jc w:val="both"/>
        <w:rPr>
          <w:rFonts w:cstheme="minorHAnsi"/>
          <w:lang w:val="sr-Latn-BA"/>
        </w:rPr>
      </w:pPr>
      <w:r>
        <w:rPr>
          <w:rFonts w:cstheme="minorHAnsi"/>
          <w:lang w:val="sr-Latn-BA"/>
        </w:rPr>
        <w:t>Za berzanske posrednike karakteristično je da mogu formirati svoj poseban fond na nivou brokera, kako bi se zaštitili od pogrešnog poslovnog poteza ili gubitka nastalog u berzanskim transakcijama.</w:t>
      </w:r>
    </w:p>
    <w:p w:rsidR="00F20468" w:rsidRDefault="00F20468" w:rsidP="00F20468">
      <w:pPr>
        <w:jc w:val="both"/>
        <w:rPr>
          <w:rFonts w:cstheme="minorHAnsi"/>
          <w:lang w:val="sr-Latn-BA"/>
        </w:rPr>
      </w:pPr>
      <w:r>
        <w:rPr>
          <w:rFonts w:cstheme="minorHAnsi"/>
          <w:lang w:val="sr-Latn-BA"/>
        </w:rPr>
        <w:t>Sredstva garantnog fonda na nivou berze čine: novčana sredstva i bankarske garancije izdate od strane poslovnih banaka za dotične namjene.</w:t>
      </w:r>
    </w:p>
    <w:p w:rsidR="00F20468" w:rsidRDefault="00F20468" w:rsidP="00F20468">
      <w:pPr>
        <w:jc w:val="both"/>
      </w:pPr>
      <w:r w:rsidRPr="00644921">
        <w:t>Na fin.berzi je moguće formirati i garantni fond za nastale greške u postupku realizacije naloga, ako se date greške ne mogu otkloniti prije isteka roka saldiranja naloga. Za berzanske posrednike i njihove brokere je karakteristiĉno da ne mogu garantovati plaćanje dugovnog salda svojih klijenata, niti garantovati plaćanje naknade za slu</w:t>
      </w:r>
      <w:r>
        <w:t>č</w:t>
      </w:r>
      <w:r w:rsidRPr="00644921">
        <w:t>aj nastalog gubitka.</w:t>
      </w:r>
    </w:p>
    <w:p w:rsidR="00F20468" w:rsidRDefault="00F20468" w:rsidP="00F20468">
      <w:pPr>
        <w:jc w:val="both"/>
      </w:pPr>
      <w:r w:rsidRPr="006F60A8">
        <w:t xml:space="preserve">Klirinški garantni fond ili fond za saldiranje se formira na nivou klirinško – depozitnog društva. Ovaj fond služi za </w:t>
      </w:r>
      <w:r w:rsidRPr="006F60A8">
        <w:rPr>
          <w:i/>
          <w:iCs/>
        </w:rPr>
        <w:t xml:space="preserve">izmirenje obaveza </w:t>
      </w:r>
      <w:r>
        <w:t>č</w:t>
      </w:r>
      <w:r w:rsidRPr="006F60A8">
        <w:t>lanova društva po zaklju</w:t>
      </w:r>
      <w:r>
        <w:t>č</w:t>
      </w:r>
      <w:r w:rsidRPr="006F60A8">
        <w:t>enim transakcijama na berzi i to pod uslovom da depozitni fond za saldiranje nije dovoljan za izmirenje datih obaveza. U takvim slu</w:t>
      </w:r>
      <w:r>
        <w:t>č</w:t>
      </w:r>
      <w:r w:rsidRPr="006F60A8">
        <w:t xml:space="preserve">ajevima garantni fond služi za </w:t>
      </w:r>
      <w:r w:rsidRPr="006F60A8">
        <w:rPr>
          <w:i/>
          <w:iCs/>
        </w:rPr>
        <w:t>pokriće nepokrivene razlike</w:t>
      </w:r>
      <w:r w:rsidRPr="006F60A8">
        <w:t xml:space="preserve">, dok se istovremeno </w:t>
      </w:r>
      <w:r>
        <w:t>č</w:t>
      </w:r>
      <w:r w:rsidRPr="006F60A8">
        <w:t>lan fonda proglašava nesolventnim.</w:t>
      </w:r>
      <w:r>
        <w:t xml:space="preserve"> takav član klirinškog društva se isključuje iz procesa trgovanja na berzi. Berzanski posrednik je dužan u roku od pet dana da vrati novčana sredstva u garantni fond sa uvećanom kamatom.</w:t>
      </w:r>
    </w:p>
    <w:p w:rsidR="00F20468" w:rsidRPr="000C3C0C" w:rsidRDefault="00F20468" w:rsidP="00F20468">
      <w:pPr>
        <w:jc w:val="both"/>
        <w:rPr>
          <w:b/>
        </w:rPr>
      </w:pPr>
      <w:r w:rsidRPr="000C3C0C">
        <w:rPr>
          <w:b/>
        </w:rPr>
        <w:t>ZAKONSKA REGULATIVA I KARAKTERISTIKE BROKERSKO-DILERSKOG DRUŠTVA (383 str.)</w:t>
      </w:r>
    </w:p>
    <w:p w:rsidR="00F20468" w:rsidRDefault="00F20468" w:rsidP="00F20468">
      <w:pPr>
        <w:jc w:val="both"/>
        <w:rPr>
          <w:rFonts w:cstheme="minorHAnsi"/>
          <w:lang w:val="sr-Latn-BA"/>
        </w:rPr>
      </w:pPr>
      <w:r>
        <w:rPr>
          <w:rFonts w:cstheme="minorHAnsi"/>
          <w:lang w:val="sr-Latn-BA"/>
        </w:rPr>
        <w:t>Brokersko-dilerska društva predstavljaju pravna lica koja su organizovana kao akcionarska društva ili kao društva sa ograničenom odgovornošću. Ona svoju djelatnost obavljaju na organizovanom tržištu HoV i to u skladu sa Zakonom o tržištu HoV i drugih finansijskih instrumenata. Prema pozitivnim zakonskim propisima brokersko-dilerska društva mogu obavljati svoju djelatnost na organizovanom tržištu HoV samo uz dozvolu odobrenu od strane Komisije za HoV. Da bi Komisija za HoV razmotrila i odobrila dozvolu za rad, neophodno je od strane brokersko-dilerskog društva podnijeti:</w:t>
      </w:r>
    </w:p>
    <w:p w:rsidR="00F20468" w:rsidRDefault="00F20468" w:rsidP="00F20468">
      <w:pPr>
        <w:pStyle w:val="ListParagraph"/>
        <w:numPr>
          <w:ilvl w:val="0"/>
          <w:numId w:val="7"/>
        </w:numPr>
        <w:jc w:val="both"/>
        <w:rPr>
          <w:rFonts w:cstheme="minorHAnsi"/>
          <w:lang w:val="sr-Latn-BA"/>
        </w:rPr>
      </w:pPr>
      <w:r>
        <w:rPr>
          <w:rFonts w:cstheme="minorHAnsi"/>
          <w:lang w:val="sr-Latn-BA"/>
        </w:rPr>
        <w:lastRenderedPageBreak/>
        <w:t>zahtjev za izdavanje dozvole</w:t>
      </w:r>
    </w:p>
    <w:p w:rsidR="00F20468" w:rsidRDefault="00F20468" w:rsidP="00F20468">
      <w:pPr>
        <w:pStyle w:val="ListParagraph"/>
        <w:numPr>
          <w:ilvl w:val="0"/>
          <w:numId w:val="7"/>
        </w:numPr>
        <w:jc w:val="both"/>
        <w:rPr>
          <w:rFonts w:cstheme="minorHAnsi"/>
          <w:lang w:val="sr-Latn-BA"/>
        </w:rPr>
      </w:pPr>
      <w:r>
        <w:rPr>
          <w:rFonts w:cstheme="minorHAnsi"/>
          <w:lang w:val="sr-Latn-BA"/>
        </w:rPr>
        <w:t>statut brokersko-dilerskog društva</w:t>
      </w:r>
    </w:p>
    <w:p w:rsidR="00F20468" w:rsidRDefault="00F20468" w:rsidP="00F20468">
      <w:pPr>
        <w:pStyle w:val="ListParagraph"/>
        <w:numPr>
          <w:ilvl w:val="0"/>
          <w:numId w:val="7"/>
        </w:numPr>
        <w:jc w:val="both"/>
        <w:rPr>
          <w:rFonts w:cstheme="minorHAnsi"/>
          <w:lang w:val="sr-Latn-BA"/>
        </w:rPr>
      </w:pPr>
      <w:r>
        <w:rPr>
          <w:rFonts w:cstheme="minorHAnsi"/>
          <w:lang w:val="sr-Latn-BA"/>
        </w:rPr>
        <w:t>pravila poslovanja brokersko-dilerskog društva</w:t>
      </w:r>
    </w:p>
    <w:p w:rsidR="00F20468" w:rsidRDefault="00F20468" w:rsidP="00F20468">
      <w:pPr>
        <w:pStyle w:val="ListParagraph"/>
        <w:numPr>
          <w:ilvl w:val="0"/>
          <w:numId w:val="7"/>
        </w:numPr>
        <w:jc w:val="both"/>
        <w:rPr>
          <w:rFonts w:cstheme="minorHAnsi"/>
          <w:lang w:val="sr-Latn-BA"/>
        </w:rPr>
      </w:pPr>
      <w:r>
        <w:rPr>
          <w:rFonts w:cstheme="minorHAnsi"/>
          <w:lang w:val="sr-Latn-BA"/>
        </w:rPr>
        <w:t>podatke o članovima brokersko-dilerskog društva</w:t>
      </w:r>
    </w:p>
    <w:p w:rsidR="00F20468" w:rsidRDefault="00F20468" w:rsidP="00F20468">
      <w:pPr>
        <w:pStyle w:val="ListParagraph"/>
        <w:numPr>
          <w:ilvl w:val="0"/>
          <w:numId w:val="7"/>
        </w:numPr>
        <w:jc w:val="both"/>
        <w:rPr>
          <w:rFonts w:cstheme="minorHAnsi"/>
          <w:lang w:val="sr-Latn-BA"/>
        </w:rPr>
      </w:pPr>
      <w:r>
        <w:rPr>
          <w:rFonts w:cstheme="minorHAnsi"/>
          <w:lang w:val="sr-Latn-BA"/>
        </w:rPr>
        <w:t>dokaz o kadrovskoj, organizacionoj osbosobljenosti i tehničkoj opremljenosti brokersko-dilerskog društva</w:t>
      </w:r>
    </w:p>
    <w:p w:rsidR="00F20468" w:rsidRDefault="00F20468" w:rsidP="00F20468">
      <w:pPr>
        <w:pStyle w:val="ListParagraph"/>
        <w:numPr>
          <w:ilvl w:val="0"/>
          <w:numId w:val="7"/>
        </w:numPr>
        <w:jc w:val="both"/>
        <w:rPr>
          <w:rFonts w:cstheme="minorHAnsi"/>
          <w:lang w:val="sr-Latn-BA"/>
        </w:rPr>
      </w:pPr>
      <w:r>
        <w:rPr>
          <w:rFonts w:cstheme="minorHAnsi"/>
          <w:lang w:val="sr-Latn-BA"/>
        </w:rPr>
        <w:t>iznos tarife za obavljanje djelatnosti brokersko-dilerskog društva</w:t>
      </w:r>
    </w:p>
    <w:p w:rsidR="00F20468" w:rsidRDefault="00F20468" w:rsidP="00F20468">
      <w:pPr>
        <w:jc w:val="both"/>
        <w:rPr>
          <w:rFonts w:cstheme="minorHAnsi"/>
          <w:lang w:val="sr-Latn-BA"/>
        </w:rPr>
      </w:pPr>
    </w:p>
    <w:p w:rsidR="00F20468" w:rsidRPr="000C3C0C" w:rsidRDefault="00F20468" w:rsidP="00F20468">
      <w:pPr>
        <w:jc w:val="both"/>
        <w:rPr>
          <w:rFonts w:cstheme="minorHAnsi"/>
          <w:b/>
          <w:lang w:val="sr-Latn-BA"/>
        </w:rPr>
      </w:pPr>
      <w:r w:rsidRPr="000C3C0C">
        <w:rPr>
          <w:rFonts w:cstheme="minorHAnsi"/>
          <w:b/>
          <w:lang w:val="sr-Latn-BA"/>
        </w:rPr>
        <w:t>POSTUPAK OTVARANJA RAČUNA BROKERSKO-DILERSKOG DRUŠTVA (391 str.)</w:t>
      </w:r>
    </w:p>
    <w:p w:rsidR="00F20468" w:rsidRDefault="00F20468" w:rsidP="00F20468">
      <w:pPr>
        <w:jc w:val="both"/>
        <w:rPr>
          <w:rFonts w:cstheme="minorHAnsi"/>
          <w:lang w:val="sr-Latn-BA"/>
        </w:rPr>
      </w:pPr>
      <w:r>
        <w:rPr>
          <w:rFonts w:cstheme="minorHAnsi"/>
          <w:lang w:val="sr-Latn-BA"/>
        </w:rPr>
        <w:t>Poslovni odnos između klijenta i brokersko-dilerskog društva treba da se odvija preko sljedećih aktivnosti:</w:t>
      </w:r>
    </w:p>
    <w:p w:rsidR="00F20468" w:rsidRDefault="00F20468" w:rsidP="00F20468">
      <w:pPr>
        <w:pStyle w:val="ListParagraph"/>
        <w:numPr>
          <w:ilvl w:val="0"/>
          <w:numId w:val="8"/>
        </w:numPr>
        <w:jc w:val="both"/>
        <w:rPr>
          <w:rFonts w:cstheme="minorHAnsi"/>
          <w:lang w:val="sr-Latn-BA"/>
        </w:rPr>
      </w:pPr>
      <w:r>
        <w:rPr>
          <w:rFonts w:cstheme="minorHAnsi"/>
          <w:lang w:val="sr-Latn-BA"/>
        </w:rPr>
        <w:t>otvaranje odgovarajućih računa klijentima društva</w:t>
      </w:r>
    </w:p>
    <w:p w:rsidR="00F20468" w:rsidRDefault="00F20468" w:rsidP="00F20468">
      <w:pPr>
        <w:pStyle w:val="ListParagraph"/>
        <w:numPr>
          <w:ilvl w:val="0"/>
          <w:numId w:val="8"/>
        </w:numPr>
        <w:jc w:val="both"/>
        <w:rPr>
          <w:rFonts w:cstheme="minorHAnsi"/>
          <w:lang w:val="sr-Latn-BA"/>
        </w:rPr>
      </w:pPr>
      <w:r>
        <w:rPr>
          <w:rFonts w:cstheme="minorHAnsi"/>
          <w:lang w:val="sr-Latn-BA"/>
        </w:rPr>
        <w:t>izdavanje naloga za određene transakcije</w:t>
      </w:r>
    </w:p>
    <w:p w:rsidR="00F20468" w:rsidRDefault="00F20468" w:rsidP="00F20468">
      <w:pPr>
        <w:pStyle w:val="ListParagraph"/>
        <w:numPr>
          <w:ilvl w:val="0"/>
          <w:numId w:val="8"/>
        </w:numPr>
        <w:jc w:val="both"/>
        <w:rPr>
          <w:rFonts w:cstheme="minorHAnsi"/>
          <w:lang w:val="sr-Latn-BA"/>
        </w:rPr>
      </w:pPr>
      <w:r>
        <w:rPr>
          <w:rFonts w:cstheme="minorHAnsi"/>
          <w:lang w:val="sr-Latn-BA"/>
        </w:rPr>
        <w:t>izvršavanje naloga i saldiranje</w:t>
      </w:r>
    </w:p>
    <w:p w:rsidR="00F20468" w:rsidRDefault="00F20468" w:rsidP="00F20468">
      <w:pPr>
        <w:pStyle w:val="ListParagraph"/>
        <w:numPr>
          <w:ilvl w:val="0"/>
          <w:numId w:val="8"/>
        </w:numPr>
        <w:jc w:val="both"/>
        <w:rPr>
          <w:rFonts w:cstheme="minorHAnsi"/>
          <w:lang w:val="sr-Latn-BA"/>
        </w:rPr>
      </w:pPr>
      <w:r>
        <w:rPr>
          <w:rFonts w:cstheme="minorHAnsi"/>
          <w:lang w:val="sr-Latn-BA"/>
        </w:rPr>
        <w:t>izvještavanje klijenta o tekućem stanju na njegovom računu</w:t>
      </w:r>
    </w:p>
    <w:p w:rsidR="00F20468" w:rsidRDefault="00F20468" w:rsidP="00F20468">
      <w:pPr>
        <w:jc w:val="both"/>
        <w:rPr>
          <w:rFonts w:cstheme="minorHAnsi"/>
          <w:lang w:val="sr-Latn-BA"/>
        </w:rPr>
      </w:pPr>
      <w:r>
        <w:rPr>
          <w:rFonts w:cstheme="minorHAnsi"/>
          <w:lang w:val="sr-Latn-BA"/>
        </w:rPr>
        <w:t>Otvaranje računa klijenta društva predstavlja jednostavnu proceduru koja se sprovodi popunjavanjem zahtjeva za otvaranje računa kod dotičnog brokersko-dilerskog društva. Zahtjev treba da sadrži podatke o: klijentu, o izvorima sredstava i o investicionom interesu klijenta. U praksi brokersko-dilerskog društva najviše su zastupljeni:</w:t>
      </w:r>
    </w:p>
    <w:p w:rsidR="00F20468" w:rsidRDefault="00F20468" w:rsidP="00F20468">
      <w:pPr>
        <w:pStyle w:val="ListParagraph"/>
        <w:numPr>
          <w:ilvl w:val="0"/>
          <w:numId w:val="9"/>
        </w:numPr>
        <w:jc w:val="both"/>
        <w:rPr>
          <w:rFonts w:cstheme="minorHAnsi"/>
          <w:lang w:val="sr-Latn-BA"/>
        </w:rPr>
      </w:pPr>
      <w:r>
        <w:rPr>
          <w:rFonts w:cstheme="minorHAnsi"/>
          <w:lang w:val="sr-Latn-BA"/>
        </w:rPr>
        <w:t>gotovinski računi (cash account)</w:t>
      </w:r>
    </w:p>
    <w:p w:rsidR="00F20468" w:rsidRDefault="00F20468" w:rsidP="00F20468">
      <w:pPr>
        <w:pStyle w:val="ListParagraph"/>
        <w:numPr>
          <w:ilvl w:val="0"/>
          <w:numId w:val="9"/>
        </w:numPr>
        <w:jc w:val="both"/>
        <w:rPr>
          <w:rFonts w:cstheme="minorHAnsi"/>
          <w:lang w:val="sr-Latn-BA"/>
        </w:rPr>
      </w:pPr>
      <w:r>
        <w:rPr>
          <w:rFonts w:cstheme="minorHAnsi"/>
          <w:lang w:val="sr-Latn-BA"/>
        </w:rPr>
        <w:t>marginski račun (margin account)</w:t>
      </w:r>
    </w:p>
    <w:p w:rsidR="00F20468" w:rsidRDefault="00F20468" w:rsidP="00F20468">
      <w:pPr>
        <w:jc w:val="both"/>
        <w:rPr>
          <w:rFonts w:cstheme="minorHAnsi"/>
          <w:lang w:val="sr-Latn-BA"/>
        </w:rPr>
      </w:pPr>
      <w:r>
        <w:rPr>
          <w:rFonts w:cstheme="minorHAnsi"/>
          <w:lang w:val="sr-Latn-BA"/>
        </w:rPr>
        <w:t xml:space="preserve">Putem gotovinskog računa klijent daje nalog svom brokeru (ili dileru) da kupi HoV za koje ima pokriće i koje se plaćaju promptno (odmah) u cjelini na dan saldiranja, kako je i predviđeno u zaključnici. Marginskim računom klijent obezbjeđuje samo dio sredstava sa kojima se pokriva izdati nalog za kupovinu dotičnih HoV. Klijent može ostatak sredstava obezbijediti putem kredita koji mu odobrava berzanski posrednik (brokersko-dilersko društvo). </w:t>
      </w:r>
    </w:p>
    <w:p w:rsidR="00F20468" w:rsidRDefault="00F20468" w:rsidP="00F20468">
      <w:pPr>
        <w:jc w:val="both"/>
        <w:rPr>
          <w:rFonts w:cstheme="minorHAnsi"/>
          <w:lang w:val="sr-Latn-BA"/>
        </w:rPr>
      </w:pPr>
      <w:r>
        <w:rPr>
          <w:rFonts w:cstheme="minorHAnsi"/>
          <w:lang w:val="sr-Latn-BA"/>
        </w:rPr>
        <w:t xml:space="preserve">Dosadašnja praktična rješenja pokazuju da postoji i </w:t>
      </w:r>
      <w:r w:rsidRPr="00C00994">
        <w:rPr>
          <w:rFonts w:cstheme="minorHAnsi"/>
          <w:lang w:val="sr-Latn-BA"/>
        </w:rPr>
        <w:t>zajednički račun (join account)</w:t>
      </w:r>
      <w:r>
        <w:rPr>
          <w:rFonts w:cstheme="minorHAnsi"/>
          <w:lang w:val="sr-Latn-BA"/>
        </w:rPr>
        <w:t xml:space="preserve"> koji je u funkciji manjih investitora, kako bi isti povećali svoj investicioni iznos i smanjili svoje troškove. Bez zajedničkog računa teško bi mogli mali investitori konkurentno učestvovati na berzi, jer često nemaju dovoljan investicioni iznos sredstava da uđu u berzanske transakcije gdje prodaju hov u većem obimu. </w:t>
      </w:r>
    </w:p>
    <w:p w:rsidR="00F20468" w:rsidRPr="001B0BFE" w:rsidRDefault="00F20468" w:rsidP="00F20468">
      <w:pPr>
        <w:jc w:val="both"/>
        <w:rPr>
          <w:rFonts w:cstheme="minorHAnsi"/>
          <w:lang w:val="sr-Latn-BA"/>
        </w:rPr>
      </w:pPr>
      <w:r>
        <w:rPr>
          <w:rFonts w:cstheme="minorHAnsi"/>
          <w:lang w:val="sr-Latn-BA"/>
        </w:rPr>
        <w:t>U praksi je prisutan i nomini račun ( nomenee account) koji predstavlja račun vlasnika čiji se identitet ne želi otkriti. U praksi brokersko-dilerskog društva prisutni su i računi upravljanja (managing account) putem kojih klijent ovlašćuje profesionalnog investicionog savjetnika da obavlja transakcije u ime i za račun klijenta.</w:t>
      </w:r>
    </w:p>
    <w:p w:rsidR="00F20468" w:rsidRPr="000C3C0C" w:rsidRDefault="00F20468" w:rsidP="00F20468">
      <w:pPr>
        <w:jc w:val="both"/>
        <w:rPr>
          <w:rFonts w:cstheme="minorHAnsi"/>
          <w:b/>
          <w:lang w:val="sr-Latn-BA"/>
        </w:rPr>
      </w:pPr>
      <w:r w:rsidRPr="000C3C0C">
        <w:rPr>
          <w:rFonts w:cstheme="minorHAnsi"/>
          <w:b/>
          <w:lang w:val="sr-Latn-BA"/>
        </w:rPr>
        <w:t>KARAKTERISTIKE MARGINSKOG RAČUNA KLIJENTA BROKERSKO-DILERSKOG DRUŠTVA (401 str.)</w:t>
      </w:r>
    </w:p>
    <w:p w:rsidR="00E83533" w:rsidRPr="00F20468" w:rsidRDefault="00F20468" w:rsidP="00F20468">
      <w:pPr>
        <w:jc w:val="both"/>
        <w:rPr>
          <w:rFonts w:cstheme="minorHAnsi"/>
          <w:lang w:val="sr-Latn-BA"/>
        </w:rPr>
      </w:pPr>
      <w:r>
        <w:rPr>
          <w:rFonts w:cstheme="minorHAnsi"/>
          <w:lang w:val="sr-Latn-BA"/>
        </w:rPr>
        <w:t>Druga grupa poslova brokersko-dilerskog društva odnosi se na marginske račune i trgovanje putem kreditnih pozajmica. Marginski račun predstavlja transakcionu vrijednost sa kojom raspolaže klijent i sa kojom ima namjeru trgovati na berzi. Često je marginski račun isuviše mali da bi se obavilo veće investiranje u HoV na berzi. S toga su investitori spremni da povuku brokerske kredite i da iste koriste u kupovini dodatnih HoV na berzi. Korišćenje brokerskih kredita u postupku trgovanja sa HoV na berzi naziva se marginskom kupovinom, odnosno kupovinom na kredit.</w:t>
      </w:r>
    </w:p>
    <w:sectPr w:rsidR="00E83533" w:rsidRPr="00F204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Georgia">
    <w:altName w:val="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153C5"/>
    <w:multiLevelType w:val="hybridMultilevel"/>
    <w:tmpl w:val="BFEEBC90"/>
    <w:lvl w:ilvl="0" w:tplc="181A0011">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1" w15:restartNumberingAfterBreak="0">
    <w:nsid w:val="10C516D3"/>
    <w:multiLevelType w:val="hybridMultilevel"/>
    <w:tmpl w:val="FF82E0AE"/>
    <w:lvl w:ilvl="0" w:tplc="181A0011">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2" w15:restartNumberingAfterBreak="0">
    <w:nsid w:val="15FF0899"/>
    <w:multiLevelType w:val="hybridMultilevel"/>
    <w:tmpl w:val="20361616"/>
    <w:lvl w:ilvl="0" w:tplc="181A0017">
      <w:start w:val="1"/>
      <w:numFmt w:val="lowerLetter"/>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3" w15:restartNumberingAfterBreak="0">
    <w:nsid w:val="1D592243"/>
    <w:multiLevelType w:val="hybridMultilevel"/>
    <w:tmpl w:val="D8167B34"/>
    <w:lvl w:ilvl="0" w:tplc="181A0011">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4" w15:restartNumberingAfterBreak="0">
    <w:nsid w:val="2BEE0D18"/>
    <w:multiLevelType w:val="hybridMultilevel"/>
    <w:tmpl w:val="E60E45DA"/>
    <w:lvl w:ilvl="0" w:tplc="9E3C04D6">
      <w:start w:val="9"/>
      <w:numFmt w:val="bullet"/>
      <w:lvlText w:val="-"/>
      <w:lvlJc w:val="left"/>
      <w:pPr>
        <w:ind w:left="720" w:hanging="360"/>
      </w:pPr>
      <w:rPr>
        <w:rFonts w:ascii="Calibri" w:eastAsiaTheme="minorHAnsi" w:hAnsi="Calibri" w:cs="Calibri"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5" w15:restartNumberingAfterBreak="0">
    <w:nsid w:val="2CA6205F"/>
    <w:multiLevelType w:val="hybridMultilevel"/>
    <w:tmpl w:val="2BAE001A"/>
    <w:lvl w:ilvl="0" w:tplc="181A0011">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6" w15:restartNumberingAfterBreak="0">
    <w:nsid w:val="3FBD7990"/>
    <w:multiLevelType w:val="hybridMultilevel"/>
    <w:tmpl w:val="1B0E2D9A"/>
    <w:lvl w:ilvl="0" w:tplc="181A0017">
      <w:start w:val="1"/>
      <w:numFmt w:val="lowerLetter"/>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7" w15:restartNumberingAfterBreak="0">
    <w:nsid w:val="64AD09CC"/>
    <w:multiLevelType w:val="hybridMultilevel"/>
    <w:tmpl w:val="1EDEAFAA"/>
    <w:lvl w:ilvl="0" w:tplc="181A0011">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abstractNum w:abstractNumId="8" w15:restartNumberingAfterBreak="0">
    <w:nsid w:val="65261D23"/>
    <w:multiLevelType w:val="hybridMultilevel"/>
    <w:tmpl w:val="32AC55C2"/>
    <w:lvl w:ilvl="0" w:tplc="181A0011">
      <w:start w:val="1"/>
      <w:numFmt w:val="decimal"/>
      <w:lvlText w:val="%1)"/>
      <w:lvlJc w:val="left"/>
      <w:pPr>
        <w:ind w:left="720" w:hanging="360"/>
      </w:pPr>
      <w:rPr>
        <w:rFonts w:hint="default"/>
      </w:rPr>
    </w:lvl>
    <w:lvl w:ilvl="1" w:tplc="181A0019" w:tentative="1">
      <w:start w:val="1"/>
      <w:numFmt w:val="lowerLetter"/>
      <w:lvlText w:val="%2."/>
      <w:lvlJc w:val="left"/>
      <w:pPr>
        <w:ind w:left="1440" w:hanging="360"/>
      </w:pPr>
    </w:lvl>
    <w:lvl w:ilvl="2" w:tplc="181A001B" w:tentative="1">
      <w:start w:val="1"/>
      <w:numFmt w:val="lowerRoman"/>
      <w:lvlText w:val="%3."/>
      <w:lvlJc w:val="right"/>
      <w:pPr>
        <w:ind w:left="2160" w:hanging="180"/>
      </w:pPr>
    </w:lvl>
    <w:lvl w:ilvl="3" w:tplc="181A000F" w:tentative="1">
      <w:start w:val="1"/>
      <w:numFmt w:val="decimal"/>
      <w:lvlText w:val="%4."/>
      <w:lvlJc w:val="left"/>
      <w:pPr>
        <w:ind w:left="2880" w:hanging="360"/>
      </w:pPr>
    </w:lvl>
    <w:lvl w:ilvl="4" w:tplc="181A0019" w:tentative="1">
      <w:start w:val="1"/>
      <w:numFmt w:val="lowerLetter"/>
      <w:lvlText w:val="%5."/>
      <w:lvlJc w:val="left"/>
      <w:pPr>
        <w:ind w:left="3600" w:hanging="360"/>
      </w:pPr>
    </w:lvl>
    <w:lvl w:ilvl="5" w:tplc="181A001B" w:tentative="1">
      <w:start w:val="1"/>
      <w:numFmt w:val="lowerRoman"/>
      <w:lvlText w:val="%6."/>
      <w:lvlJc w:val="right"/>
      <w:pPr>
        <w:ind w:left="4320" w:hanging="180"/>
      </w:pPr>
    </w:lvl>
    <w:lvl w:ilvl="6" w:tplc="181A000F" w:tentative="1">
      <w:start w:val="1"/>
      <w:numFmt w:val="decimal"/>
      <w:lvlText w:val="%7."/>
      <w:lvlJc w:val="left"/>
      <w:pPr>
        <w:ind w:left="5040" w:hanging="360"/>
      </w:pPr>
    </w:lvl>
    <w:lvl w:ilvl="7" w:tplc="181A0019" w:tentative="1">
      <w:start w:val="1"/>
      <w:numFmt w:val="lowerLetter"/>
      <w:lvlText w:val="%8."/>
      <w:lvlJc w:val="left"/>
      <w:pPr>
        <w:ind w:left="5760" w:hanging="360"/>
      </w:pPr>
    </w:lvl>
    <w:lvl w:ilvl="8" w:tplc="181A001B" w:tentative="1">
      <w:start w:val="1"/>
      <w:numFmt w:val="lowerRoman"/>
      <w:lvlText w:val="%9."/>
      <w:lvlJc w:val="right"/>
      <w:pPr>
        <w:ind w:left="6480" w:hanging="180"/>
      </w:pPr>
    </w:lvl>
  </w:abstractNum>
  <w:num w:numId="1">
    <w:abstractNumId w:val="2"/>
  </w:num>
  <w:num w:numId="2">
    <w:abstractNumId w:val="6"/>
  </w:num>
  <w:num w:numId="3">
    <w:abstractNumId w:val="4"/>
  </w:num>
  <w:num w:numId="4">
    <w:abstractNumId w:val="3"/>
  </w:num>
  <w:num w:numId="5">
    <w:abstractNumId w:val="1"/>
  </w:num>
  <w:num w:numId="6">
    <w:abstractNumId w:val="5"/>
  </w:num>
  <w:num w:numId="7">
    <w:abstractNumId w:val="8"/>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468"/>
    <w:rsid w:val="00455A77"/>
    <w:rsid w:val="004D01AE"/>
    <w:rsid w:val="007E64CA"/>
    <w:rsid w:val="00CB4385"/>
    <w:rsid w:val="00E26580"/>
    <w:rsid w:val="00E83533"/>
    <w:rsid w:val="00F20468"/>
    <w:rsid w:val="00F95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40AC1"/>
  <w15:chartTrackingRefBased/>
  <w15:docId w15:val="{26308E39-3626-469F-BCB3-F70774759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468"/>
  </w:style>
  <w:style w:type="paragraph" w:styleId="Heading1">
    <w:name w:val="heading 1"/>
    <w:basedOn w:val="Normal"/>
    <w:next w:val="Normal"/>
    <w:link w:val="Heading1Char"/>
    <w:uiPriority w:val="9"/>
    <w:qFormat/>
    <w:rsid w:val="00455A77"/>
    <w:pPr>
      <w:keepNext/>
      <w:keepLines/>
      <w:spacing w:before="240" w:after="0"/>
      <w:jc w:val="center"/>
      <w:outlineLvl w:val="0"/>
    </w:pPr>
    <w:rPr>
      <w:rFonts w:ascii="Arial" w:eastAsiaTheme="majorEastAsia" w:hAnsi="Arial" w:cstheme="majorBidi"/>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5A77"/>
    <w:rPr>
      <w:rFonts w:ascii="Arial" w:eastAsiaTheme="majorEastAsia" w:hAnsi="Arial" w:cstheme="majorBidi"/>
      <w:sz w:val="28"/>
      <w:szCs w:val="32"/>
    </w:rPr>
  </w:style>
  <w:style w:type="paragraph" w:styleId="ListParagraph">
    <w:name w:val="List Paragraph"/>
    <w:basedOn w:val="Normal"/>
    <w:uiPriority w:val="34"/>
    <w:qFormat/>
    <w:rsid w:val="00F20468"/>
    <w:pPr>
      <w:ind w:left="720"/>
      <w:contextualSpacing/>
    </w:pPr>
  </w:style>
  <w:style w:type="paragraph" w:customStyle="1" w:styleId="Default">
    <w:name w:val="Default"/>
    <w:rsid w:val="00F20468"/>
    <w:pPr>
      <w:autoSpaceDE w:val="0"/>
      <w:autoSpaceDN w:val="0"/>
      <w:adjustRightInd w:val="0"/>
      <w:spacing w:after="0" w:line="240" w:lineRule="auto"/>
    </w:pPr>
    <w:rPr>
      <w:rFonts w:ascii="Georgia" w:hAnsi="Georgia" w:cs="Georgia"/>
      <w:color w:val="000000"/>
      <w:sz w:val="24"/>
      <w:szCs w:val="24"/>
      <w:lang w:val="sr-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1739</Words>
  <Characters>9915</Characters>
  <Application>Microsoft Office Word</Application>
  <DocSecurity>0</DocSecurity>
  <Lines>82</Lines>
  <Paragraphs>23</Paragraphs>
  <ScaleCrop>false</ScaleCrop>
  <Company/>
  <LinksUpToDate>false</LinksUpToDate>
  <CharactersWithSpaces>11631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Rade Bozic</dc:creator>
  <cp:keywords/>
  <dc:description/>
  <cp:lastModifiedBy>Rade Bozic</cp:lastModifiedBy>
  <cp:revision>6</cp:revision>
  <dcterms:created xsi:type="dcterms:W3CDTF">2020-03-23T09:04:00Z</dcterms:created>
  <dcterms:modified xsi:type="dcterms:W3CDTF">2020-03-23T09:29:00Z</dcterms:modified>
</cp:coreProperties>
</file>